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4222B4">
        <w:t>3 (Folk</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A33957" w:rsidP="00363490">
            <w:pPr>
              <w:jc w:val="both"/>
              <w:rPr>
                <w:rFonts w:cstheme="minorHAnsi"/>
              </w:rPr>
            </w:pPr>
            <w:r>
              <w:t>HBAMFO010</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A47C7E">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A47C7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4222B4">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4222B4">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4222B4" w:rsidRPr="00D53C69" w:rsidRDefault="004222B4" w:rsidP="004222B4">
      <w:pPr>
        <w:spacing w:after="0" w:line="240" w:lineRule="auto"/>
        <w:rPr>
          <w:rFonts w:cs="Arial"/>
        </w:rPr>
      </w:pPr>
      <w:r w:rsidRPr="00D53C69">
        <w:rPr>
          <w:rFonts w:cs="Arial"/>
        </w:rPr>
        <w:t>The student will be expected to have a highly developed awareness of their compositional identity and to be able to apply this in a consistent and focused manner evidencing a creative imagination. The student will be expected to present ideas to their one to one tutor in order to scope a substantial portfolio of original material. From a professional perspective, the student might choose to hone their industry-specific skills by composing</w:t>
      </w:r>
      <w:r>
        <w:rPr>
          <w:rFonts w:cs="Arial"/>
        </w:rPr>
        <w:t>/arranging</w:t>
      </w:r>
      <w:r w:rsidRPr="00D53C69">
        <w:rPr>
          <w:rFonts w:cs="Arial"/>
        </w:rPr>
        <w:t xml:space="preserve"> and producing a showcase-style portfolio of pieces, demonstrating their ability to handle a variety of different styles and to show a professional attitude to their practice and its presentation. Alternatively, the student might be more concerned with individual artistry and engage in experimentation within their own stylistic remit, for example, to create pieces which explore the boundaries of 'traditional' form and question the idea of musical norms within this context. An extensive range of global musical styles will be available to the student composer so that they are able to critically reflect on the stylistic choices that they make. Students will be encouraged to explore elements of folk traditions that are less well known in the U.K. (e.g. Galician, Bulgarian music or Scandinavian) so that they have a wide range of choices to draw upon.  Composers will be encouraged to consider all the music parameters available to them, including elements such as timbre so that they can create folk-inspired music that has strong elements of originality through the fusion of different traditions/genres.</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610C0" w:rsidRDefault="003610C0" w:rsidP="003610C0">
      <w:pPr>
        <w:spacing w:after="0" w:line="240" w:lineRule="auto"/>
      </w:pPr>
      <w:r w:rsidRPr="002A7C30">
        <w:t>This module is designed to continue the support of the students’ development in compositional practice. Recognising the importance of continual development, through one-to-one teaching opportunities, students will have opportunities to refine their expression, technical ability and musicianship to produce an extended portfolio of work.</w:t>
      </w:r>
    </w:p>
    <w:p w:rsidR="003610C0" w:rsidRDefault="003610C0" w:rsidP="003610C0">
      <w:pPr>
        <w:spacing w:after="0" w:line="240" w:lineRule="auto"/>
      </w:pPr>
    </w:p>
    <w:p w:rsidR="003610C0" w:rsidRDefault="003610C0" w:rsidP="003610C0">
      <w:pPr>
        <w:spacing w:after="0" w:line="240" w:lineRule="auto"/>
      </w:pPr>
      <w:r>
        <w:t>The module aims to:</w:t>
      </w:r>
    </w:p>
    <w:p w:rsidR="003610C0" w:rsidRDefault="003610C0" w:rsidP="003610C0">
      <w:pPr>
        <w:pStyle w:val="ListParagraph"/>
        <w:numPr>
          <w:ilvl w:val="0"/>
          <w:numId w:val="4"/>
        </w:numPr>
        <w:spacing w:after="0" w:line="240" w:lineRule="auto"/>
      </w:pPr>
      <w:r w:rsidRPr="00C7506D">
        <w:t>Enable the student to enhance and refine their understanding of the creative techni</w:t>
      </w:r>
      <w:r>
        <w:t xml:space="preserve">ques of musical composition </w:t>
      </w:r>
      <w:r w:rsidR="00957AD1">
        <w:t xml:space="preserve">and arrangement </w:t>
      </w:r>
      <w:r>
        <w:t>with sophistication</w:t>
      </w:r>
      <w:r w:rsidRPr="00C7506D">
        <w:t>.</w:t>
      </w:r>
    </w:p>
    <w:p w:rsidR="003610C0" w:rsidRDefault="003610C0" w:rsidP="003610C0">
      <w:pPr>
        <w:pStyle w:val="ListParagraph"/>
        <w:numPr>
          <w:ilvl w:val="0"/>
          <w:numId w:val="4"/>
        </w:numPr>
        <w:spacing w:after="0" w:line="240" w:lineRule="auto"/>
      </w:pPr>
      <w:r>
        <w:t>Provide</w:t>
      </w:r>
      <w:r w:rsidRPr="00C7506D">
        <w:t xml:space="preserve"> students with the opportunity to compose</w:t>
      </w:r>
      <w:r>
        <w:t xml:space="preserve"> and/or arrange</w:t>
      </w:r>
      <w:r w:rsidRPr="00C7506D">
        <w:t xml:space="preserve"> large-scale pieces</w:t>
      </w:r>
      <w:r>
        <w:t xml:space="preserve"> or portfolio of original material.</w:t>
      </w:r>
    </w:p>
    <w:p w:rsidR="003610C0" w:rsidRDefault="003610C0" w:rsidP="003610C0">
      <w:pPr>
        <w:pStyle w:val="ListParagraph"/>
        <w:numPr>
          <w:ilvl w:val="0"/>
          <w:numId w:val="4"/>
        </w:numPr>
        <w:spacing w:after="0" w:line="240" w:lineRule="auto"/>
      </w:pPr>
      <w:r>
        <w:t>Enable students to</w:t>
      </w:r>
      <w:r w:rsidRPr="00C7506D">
        <w:t xml:space="preserve"> have a highly developed awareness of their compositional identity and to be able to apply this in a consistent and focused manner</w:t>
      </w:r>
      <w:r>
        <w: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9C0037" w:rsidRPr="00957AD1" w:rsidRDefault="00957AD1" w:rsidP="00957AD1">
      <w:pPr>
        <w:pStyle w:val="ListParagraph"/>
        <w:numPr>
          <w:ilvl w:val="0"/>
          <w:numId w:val="40"/>
        </w:numPr>
        <w:spacing w:after="0" w:line="240" w:lineRule="auto"/>
        <w:rPr>
          <w:rFonts w:cstheme="minorHAnsi"/>
        </w:rPr>
      </w:pPr>
      <w:r w:rsidRPr="00CC3EC7">
        <w:rPr>
          <w:rFonts w:ascii="Calibri" w:eastAsia="Times New Roman" w:hAnsi="Calibri" w:cs="Times New Roman"/>
        </w:rPr>
        <w:t>Compose/arrange and present original compositions of an advanced standard with a clear awareness of style and a realised and focussed compositional voice</w:t>
      </w:r>
      <w:r>
        <w:rPr>
          <w:rFonts w:ascii="Calibri" w:eastAsia="Times New Roman" w:hAnsi="Calibri" w:cs="Times New Roman"/>
        </w:rPr>
        <w:t>.</w:t>
      </w:r>
    </w:p>
    <w:p w:rsidR="00957AD1" w:rsidRPr="00957AD1" w:rsidRDefault="00957AD1" w:rsidP="00957AD1">
      <w:pPr>
        <w:pStyle w:val="ListParagraph"/>
        <w:numPr>
          <w:ilvl w:val="0"/>
          <w:numId w:val="40"/>
        </w:numPr>
        <w:spacing w:after="0" w:line="240" w:lineRule="auto"/>
        <w:rPr>
          <w:rFonts w:cstheme="minorHAnsi"/>
        </w:rPr>
      </w:pPr>
      <w:r w:rsidRPr="00CC3EC7">
        <w:t>Present original compositions/arrangements that evidence a professional technical compositional ability alongside a creative and imaginative sense of character</w:t>
      </w:r>
      <w:r>
        <w:t>.</w:t>
      </w:r>
    </w:p>
    <w:p w:rsidR="00957AD1" w:rsidRPr="00957AD1" w:rsidRDefault="00957AD1" w:rsidP="00957AD1">
      <w:pPr>
        <w:pStyle w:val="ListParagraph"/>
        <w:numPr>
          <w:ilvl w:val="0"/>
          <w:numId w:val="40"/>
        </w:numPr>
        <w:spacing w:after="0" w:line="240" w:lineRule="auto"/>
        <w:rPr>
          <w:rFonts w:cstheme="minorHAnsi"/>
        </w:rPr>
      </w:pPr>
      <w:r w:rsidRPr="00CC3EC7">
        <w:rPr>
          <w:rFonts w:cstheme="minorHAnsi"/>
        </w:rPr>
        <w:t xml:space="preserve">Demonstrate the ability to realise a collection of compositions </w:t>
      </w:r>
      <w:r w:rsidRPr="00CC3EC7">
        <w:rPr>
          <w:rFonts w:ascii="Calibri" w:eastAsia="Times New Roman" w:hAnsi="Calibri" w:cs="Times New Roman"/>
        </w:rPr>
        <w:t>suitable for public performance and/or consumption.</w:t>
      </w:r>
    </w:p>
    <w:p w:rsidR="00957AD1" w:rsidRPr="00957AD1" w:rsidRDefault="00957AD1" w:rsidP="00957AD1">
      <w:pPr>
        <w:pStyle w:val="ListParagraph"/>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3610C0" w:rsidRDefault="003610C0" w:rsidP="003610C0">
      <w:pPr>
        <w:spacing w:after="0" w:line="240" w:lineRule="auto"/>
      </w:pPr>
      <w:r w:rsidRPr="00365CE5">
        <w:rPr>
          <w:b/>
        </w:rPr>
        <w:t>One to one tuition</w:t>
      </w:r>
      <w:r>
        <w:rPr>
          <w:b/>
        </w:rPr>
        <w:t xml:space="preserve"> </w:t>
      </w:r>
      <w:r>
        <w:t>facilitates a developmental process over two trimesters. It is designed to build upon existing skills in technique and musicianship in order to establish strong composition skills with the aim of developing expression, creativity and technique.</w:t>
      </w:r>
    </w:p>
    <w:p w:rsidR="003610C0" w:rsidRDefault="003610C0" w:rsidP="003610C0">
      <w:pPr>
        <w:spacing w:after="0" w:line="240" w:lineRule="auto"/>
      </w:pPr>
    </w:p>
    <w:p w:rsidR="003610C0" w:rsidRDefault="003610C0" w:rsidP="003610C0">
      <w:pPr>
        <w:spacing w:after="0" w:line="240" w:lineRule="auto"/>
      </w:pPr>
      <w:r w:rsidRPr="00365CE5">
        <w:rPr>
          <w:b/>
        </w:rPr>
        <w:t>Workshops/seminars</w:t>
      </w:r>
      <w:r>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r w:rsidR="00957AD1">
        <w:t xml:space="preserve">  On the Folk Pathway composition students will work with other composers and performers across year groups to facilitate creative reflection via peer to peer feedback workshops and seminars.</w:t>
      </w:r>
    </w:p>
    <w:p w:rsidR="003610C0" w:rsidRDefault="003610C0" w:rsidP="003610C0">
      <w:pPr>
        <w:spacing w:after="0" w:line="240" w:lineRule="auto"/>
      </w:pPr>
    </w:p>
    <w:p w:rsidR="003610C0" w:rsidRDefault="003610C0" w:rsidP="003610C0">
      <w:pPr>
        <w:tabs>
          <w:tab w:val="left" w:pos="8955"/>
        </w:tabs>
        <w:spacing w:after="0" w:line="240" w:lineRule="auto"/>
      </w:pPr>
      <w:r w:rsidRPr="00365CE5">
        <w:rPr>
          <w:b/>
        </w:rPr>
        <w:t>Masterclasses</w:t>
      </w:r>
      <w:r>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3610C0" w:rsidP="0087463F">
            <w:pPr>
              <w:jc w:val="both"/>
              <w:rPr>
                <w:rFonts w:cstheme="minorHAnsi"/>
                <w:b/>
              </w:rPr>
            </w:pPr>
            <w:r>
              <w:rPr>
                <w:rFonts w:cstheme="minorHAnsi"/>
              </w:rPr>
              <w:t>48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3610C0" w:rsidP="0087463F">
            <w:pPr>
              <w:jc w:val="both"/>
              <w:rPr>
                <w:rFonts w:cstheme="minorHAnsi"/>
                <w:b/>
              </w:rPr>
            </w:pPr>
            <w:r>
              <w:rPr>
                <w:rFonts w:cstheme="minorHAnsi"/>
              </w:rPr>
              <w:t>352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3610C0"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610C0" w:rsidRDefault="003610C0" w:rsidP="003610C0">
      <w:pPr>
        <w:spacing w:after="0" w:line="240" w:lineRule="auto"/>
      </w:pPr>
      <w:r>
        <w:t xml:space="preserve">Within the individual tuition process students receive verbal feedback regarding their progress on a weekly basis as part of an ongoing development process. This is the same for </w:t>
      </w:r>
      <w:r w:rsidR="00957AD1">
        <w:t>Composition in Context seminars/workshops (FA2)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3610C0" w:rsidP="00801F7C">
            <w:r>
              <w:t>Coursework</w:t>
            </w:r>
          </w:p>
        </w:tc>
        <w:tc>
          <w:tcPr>
            <w:tcW w:w="2570" w:type="dxa"/>
            <w:vAlign w:val="center"/>
          </w:tcPr>
          <w:p w:rsidR="00713854" w:rsidRPr="001C661C" w:rsidRDefault="003610C0" w:rsidP="00292681">
            <w:pPr>
              <w:jc w:val="center"/>
              <w:rPr>
                <w:rFonts w:cstheme="minorHAnsi"/>
              </w:rPr>
            </w:pPr>
            <w:r>
              <w:rPr>
                <w:rFonts w:cstheme="minorHAnsi"/>
              </w:rPr>
              <w:t>30 minutes</w:t>
            </w:r>
          </w:p>
        </w:tc>
        <w:tc>
          <w:tcPr>
            <w:tcW w:w="2375" w:type="dxa"/>
            <w:vAlign w:val="center"/>
          </w:tcPr>
          <w:p w:rsidR="00713854" w:rsidRPr="001C661C" w:rsidRDefault="003610C0" w:rsidP="00CB0A08">
            <w:pPr>
              <w:jc w:val="center"/>
              <w:rPr>
                <w:rFonts w:cstheme="minorHAnsi"/>
              </w:rPr>
            </w:pPr>
            <w:r>
              <w:rPr>
                <w:rFonts w:cstheme="minorHAnsi"/>
              </w:rPr>
              <w:t>100</w:t>
            </w:r>
            <w:r w:rsidR="00801F7C">
              <w:rPr>
                <w:rFonts w:cstheme="minorHAnsi"/>
              </w:rPr>
              <w:t>%</w:t>
            </w:r>
          </w:p>
        </w:tc>
        <w:tc>
          <w:tcPr>
            <w:tcW w:w="2514" w:type="dxa"/>
            <w:vAlign w:val="center"/>
          </w:tcPr>
          <w:p w:rsidR="00713854" w:rsidRPr="001C661C" w:rsidRDefault="00F33DA8" w:rsidP="00713854">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3610C0" w:rsidRPr="001C661C" w:rsidTr="00973F76">
        <w:tc>
          <w:tcPr>
            <w:tcW w:w="2997" w:type="dxa"/>
            <w:vAlign w:val="center"/>
          </w:tcPr>
          <w:p w:rsidR="003610C0" w:rsidRDefault="003610C0" w:rsidP="003610C0">
            <w:r>
              <w:t>Coursework</w:t>
            </w:r>
          </w:p>
        </w:tc>
        <w:tc>
          <w:tcPr>
            <w:tcW w:w="2570" w:type="dxa"/>
            <w:vAlign w:val="center"/>
          </w:tcPr>
          <w:p w:rsidR="003610C0" w:rsidRPr="001C661C" w:rsidRDefault="003610C0" w:rsidP="003610C0">
            <w:pPr>
              <w:jc w:val="center"/>
              <w:rPr>
                <w:rFonts w:cstheme="minorHAnsi"/>
              </w:rPr>
            </w:pPr>
            <w:r>
              <w:rPr>
                <w:rFonts w:cstheme="minorHAnsi"/>
              </w:rPr>
              <w:t>30 minutes</w:t>
            </w:r>
          </w:p>
        </w:tc>
        <w:tc>
          <w:tcPr>
            <w:tcW w:w="2375" w:type="dxa"/>
            <w:vAlign w:val="center"/>
          </w:tcPr>
          <w:p w:rsidR="003610C0" w:rsidRPr="001C661C" w:rsidRDefault="003610C0" w:rsidP="003610C0">
            <w:pPr>
              <w:jc w:val="center"/>
              <w:rPr>
                <w:rFonts w:cstheme="minorHAnsi"/>
              </w:rPr>
            </w:pPr>
            <w:r>
              <w:rPr>
                <w:rFonts w:cstheme="minorHAnsi"/>
              </w:rPr>
              <w:t>100%</w:t>
            </w:r>
          </w:p>
        </w:tc>
        <w:tc>
          <w:tcPr>
            <w:tcW w:w="2514" w:type="dxa"/>
            <w:vAlign w:val="center"/>
          </w:tcPr>
          <w:p w:rsidR="003610C0" w:rsidRPr="001C661C" w:rsidRDefault="00F33DA8" w:rsidP="003610C0">
            <w:pPr>
              <w:jc w:val="center"/>
              <w:rPr>
                <w:rFonts w:cstheme="minorHAnsi"/>
              </w:rPr>
            </w:pPr>
            <w:r>
              <w:rPr>
                <w:rFonts w:cstheme="minorHAnsi"/>
              </w:rPr>
              <w:t>1, 2, 3</w:t>
            </w:r>
            <w:bookmarkStart w:id="0" w:name="_GoBack"/>
            <w:bookmarkEnd w:id="0"/>
          </w:p>
        </w:tc>
      </w:tr>
    </w:tbl>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3610C0" w:rsidRDefault="003610C0" w:rsidP="003610C0">
      <w:pPr>
        <w:tabs>
          <w:tab w:val="left" w:pos="6750"/>
        </w:tabs>
        <w:spacing w:after="0" w:line="240" w:lineRule="auto"/>
      </w:pPr>
      <w:r w:rsidRPr="004E44ED">
        <w:t>Indicative repertoire list per composer will be provided by appropriate tutor.</w:t>
      </w:r>
    </w:p>
    <w:p w:rsidR="00006FE7" w:rsidRDefault="00006FE7" w:rsidP="003610C0">
      <w:pPr>
        <w:tabs>
          <w:tab w:val="left" w:pos="6750"/>
        </w:tabs>
        <w:spacing w:after="0" w:line="240" w:lineRule="auto"/>
      </w:pP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A3395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A33957">
    <w:pPr>
      <w:pStyle w:val="Header"/>
    </w:pPr>
    <w:r>
      <w:rPr>
        <w:rFonts w:ascii="TimesNewRomanPSMT" w:hAnsi="TimesNewRomanPSMT"/>
        <w:noProof/>
        <w:lang w:eastAsia="en-GB"/>
      </w:rPr>
      <w:drawing>
        <wp:anchor distT="0" distB="0" distL="114300" distR="114300" simplePos="0" relativeHeight="251663360" behindDoc="1" locked="0" layoutInCell="1" allowOverlap="1">
          <wp:simplePos x="0" y="0"/>
          <wp:positionH relativeFrom="column">
            <wp:posOffset>4931410</wp:posOffset>
          </wp:positionH>
          <wp:positionV relativeFrom="paragraph">
            <wp:posOffset>-349885</wp:posOffset>
          </wp:positionV>
          <wp:extent cx="2003310" cy="1203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03310" cy="120396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CB"/>
    <w:multiLevelType w:val="hybridMultilevel"/>
    <w:tmpl w:val="A0F8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2"/>
  </w:num>
  <w:num w:numId="19">
    <w:abstractNumId w:val="19"/>
  </w:num>
  <w:num w:numId="20">
    <w:abstractNumId w:val="3"/>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1"/>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62D3"/>
    <w:rsid w:val="0010053C"/>
    <w:rsid w:val="00143AF0"/>
    <w:rsid w:val="001C661C"/>
    <w:rsid w:val="001F19AB"/>
    <w:rsid w:val="00225B35"/>
    <w:rsid w:val="002421F7"/>
    <w:rsid w:val="00286D45"/>
    <w:rsid w:val="00292681"/>
    <w:rsid w:val="002F2DE6"/>
    <w:rsid w:val="003610C0"/>
    <w:rsid w:val="00363490"/>
    <w:rsid w:val="003663DD"/>
    <w:rsid w:val="00366821"/>
    <w:rsid w:val="003A7418"/>
    <w:rsid w:val="003C3896"/>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57AD1"/>
    <w:rsid w:val="00966B12"/>
    <w:rsid w:val="00973F76"/>
    <w:rsid w:val="009C0037"/>
    <w:rsid w:val="00A12CD1"/>
    <w:rsid w:val="00A269B4"/>
    <w:rsid w:val="00A33957"/>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33DA8"/>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6868F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Specialist Study Composition 3 (Folk)</vt:lpstr>
    </vt:vector>
  </TitlesOfParts>
  <Company>Leeds College Of Music</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3 (Folk)</dc:title>
  <dc:creator>LCoM User</dc:creator>
  <cp:lastModifiedBy>Stephenson, Caroline</cp:lastModifiedBy>
  <cp:revision>5</cp:revision>
  <cp:lastPrinted>2019-02-19T11:40:00Z</cp:lastPrinted>
  <dcterms:created xsi:type="dcterms:W3CDTF">2021-06-12T14:40:00Z</dcterms:created>
  <dcterms:modified xsi:type="dcterms:W3CDTF">2021-06-12T14:52:00Z</dcterms:modified>
</cp:coreProperties>
</file>