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7769F7">
        <w:t>Contextual Studies 2: Arranging and Orchestration</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769F7" w:rsidP="007769F7">
            <w:pPr>
              <w:jc w:val="both"/>
              <w:rPr>
                <w:rFonts w:cstheme="minorHAnsi"/>
              </w:rPr>
            </w:pPr>
            <w:r>
              <w:rPr>
                <w:lang w:val="fr-FR"/>
              </w:rPr>
              <w:t>HBASHR030</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6D0B63"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7769F7">
            <w:pPr>
              <w:jc w:val="both"/>
              <w:rPr>
                <w:rFonts w:cstheme="minorHAnsi"/>
              </w:rPr>
            </w:pPr>
            <w:r>
              <w:rPr>
                <w:rFonts w:cstheme="minorHAnsi"/>
              </w:rPr>
              <w:t xml:space="preserve">BA (Hons) </w:t>
            </w:r>
            <w:r w:rsidR="00000FBC">
              <w:rPr>
                <w:rFonts w:cstheme="minorHAnsi"/>
              </w:rPr>
              <w:t>Music (</w:t>
            </w:r>
            <w:r w:rsidR="007769F7">
              <w:rPr>
                <w:rFonts w:cstheme="minorHAnsi"/>
              </w:rPr>
              <w:t>Classical</w:t>
            </w:r>
            <w:r w:rsidR="00EE2A50">
              <w:rPr>
                <w:rFonts w:cstheme="minorHAnsi"/>
              </w:rPr>
              <w:t>)</w:t>
            </w:r>
            <w:r w:rsidR="007769F7">
              <w:rPr>
                <w:rFonts w:cstheme="minorHAnsi"/>
              </w:rPr>
              <w:t xml:space="preserve"> (Film Music) (Folk) (Jazz) (Popular) (Production) (</w:t>
            </w:r>
            <w:proofErr w:type="spellStart"/>
            <w:r w:rsidR="007769F7">
              <w:rPr>
                <w:rFonts w:cstheme="minorHAnsi"/>
              </w:rPr>
              <w:t>Songwriting</w:t>
            </w:r>
            <w:proofErr w:type="spellEnd"/>
            <w:r w:rsidR="007769F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7769F7" w:rsidRDefault="007769F7" w:rsidP="007769F7">
      <w:pPr>
        <w:spacing w:after="0" w:line="240" w:lineRule="auto"/>
      </w:pPr>
      <w:r>
        <w:t xml:space="preserve">Students will </w:t>
      </w:r>
      <w:r w:rsidRPr="00D458EA">
        <w:t>engage in the analytical and practical study of a range of arranging, orchestration and production techniques. This knowledge will enable students to learn from the work of others, but more importantly, develop their own voice within this field. Different approaches and methods and styles of arrangement will be considered, investigated and evaluated theoretically and practically with detailed information disseminated in lectures and workshops. Analysis and evaluation will play central roles in this module, as will musicological, cultural, technological areas of creativity and practicality.</w:t>
      </w:r>
    </w:p>
    <w:p w:rsidR="00C07387" w:rsidRPr="001C661C" w:rsidRDefault="00C07387" w:rsidP="0000291B">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7769F7" w:rsidRDefault="007769F7" w:rsidP="007769F7">
      <w:pPr>
        <w:spacing w:after="0" w:line="240" w:lineRule="auto"/>
      </w:pPr>
      <w:r w:rsidRPr="00C41520">
        <w:t>This module develops skills and understandings that could be used in a variety of compositional settings, whether that be film music, classical music, jazz or working with sampling technology. Students will be able to enhance their compositions exploring a range of techniques.</w:t>
      </w:r>
    </w:p>
    <w:p w:rsidR="007769F7" w:rsidRDefault="007769F7" w:rsidP="007769F7">
      <w:pPr>
        <w:spacing w:after="0" w:line="240" w:lineRule="auto"/>
      </w:pPr>
    </w:p>
    <w:p w:rsidR="007769F7" w:rsidRDefault="007769F7" w:rsidP="007769F7">
      <w:pPr>
        <w:spacing w:after="0" w:line="240" w:lineRule="auto"/>
      </w:pPr>
      <w:r>
        <w:t>The module aims to:</w:t>
      </w:r>
    </w:p>
    <w:p w:rsidR="007769F7" w:rsidRDefault="007769F7" w:rsidP="007769F7">
      <w:pPr>
        <w:pStyle w:val="ListParagraph"/>
        <w:numPr>
          <w:ilvl w:val="0"/>
          <w:numId w:val="4"/>
        </w:numPr>
        <w:spacing w:after="0" w:line="240" w:lineRule="auto"/>
      </w:pPr>
      <w:r>
        <w:t>Address</w:t>
      </w:r>
      <w:r w:rsidRPr="00D458EA">
        <w:t xml:space="preserve"> the study of modern arrangin</w:t>
      </w:r>
      <w:r>
        <w:t>g and orchestration;</w:t>
      </w:r>
    </w:p>
    <w:p w:rsidR="007769F7" w:rsidRDefault="007769F7" w:rsidP="007769F7">
      <w:pPr>
        <w:pStyle w:val="ListParagraph"/>
        <w:numPr>
          <w:ilvl w:val="0"/>
          <w:numId w:val="4"/>
        </w:numPr>
        <w:spacing w:after="0" w:line="240" w:lineRule="auto"/>
      </w:pPr>
      <w:r w:rsidRPr="00D458EA">
        <w:t>Examine a wide range of theoretical and practical concepts by addressing the cross-g</w:t>
      </w:r>
      <w:r>
        <w:t>enre nature of the subject area;</w:t>
      </w:r>
    </w:p>
    <w:p w:rsidR="006D0B63" w:rsidRDefault="007769F7" w:rsidP="007769F7">
      <w:pPr>
        <w:pStyle w:val="ListParagraph"/>
        <w:numPr>
          <w:ilvl w:val="0"/>
          <w:numId w:val="4"/>
        </w:numPr>
        <w:spacing w:after="0" w:line="240" w:lineRule="auto"/>
      </w:pPr>
      <w:r w:rsidRPr="00D458EA">
        <w:t>Apply established orchestration techniques alongside emerging contexts specific to technology to gain a practical, real-world understanding of the sound, character, personality and temperament of specific instruments and groupings.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7769F7" w:rsidP="00EE2A50">
      <w:pPr>
        <w:pStyle w:val="ListParagraph"/>
        <w:numPr>
          <w:ilvl w:val="0"/>
          <w:numId w:val="19"/>
        </w:numPr>
        <w:spacing w:after="0" w:line="240" w:lineRule="auto"/>
        <w:rPr>
          <w:rFonts w:cstheme="minorHAnsi"/>
        </w:rPr>
      </w:pPr>
      <w:r w:rsidRPr="00132BDB">
        <w:rPr>
          <w:rFonts w:ascii="Calibri" w:eastAsia="Times New Roman" w:hAnsi="Calibri" w:cs="Times New Roman"/>
          <w:color w:val="000000"/>
        </w:rPr>
        <w:t>Analyse, evaluate, arrange and orchestrate music for various contemporary instrumental situations using written notated scores.</w:t>
      </w:r>
      <w:r w:rsidR="000A58BE" w:rsidRPr="00EE2A50">
        <w:rPr>
          <w:rFonts w:cstheme="minorHAnsi"/>
        </w:rPr>
        <w:t xml:space="preserve"> </w:t>
      </w:r>
    </w:p>
    <w:p w:rsidR="006D0B63" w:rsidRPr="006D0B63" w:rsidRDefault="007769F7" w:rsidP="006D0B63">
      <w:pPr>
        <w:pStyle w:val="ListParagraph"/>
        <w:numPr>
          <w:ilvl w:val="0"/>
          <w:numId w:val="19"/>
        </w:numPr>
        <w:spacing w:after="0" w:line="240" w:lineRule="auto"/>
        <w:rPr>
          <w:rFonts w:cstheme="minorHAnsi"/>
        </w:rPr>
      </w:pPr>
      <w:r w:rsidRPr="00132BDB">
        <w:rPr>
          <w:rFonts w:ascii="Calibri" w:eastAsia="Times New Roman" w:hAnsi="Calibri" w:cs="Times New Roman"/>
          <w:color w:val="000000"/>
        </w:rPr>
        <w:t>Analyse arranging technique via audio and written scores and understand their vocabulary.</w:t>
      </w:r>
    </w:p>
    <w:p w:rsidR="007769F7" w:rsidRPr="007769F7" w:rsidRDefault="007769F7" w:rsidP="00E803C3">
      <w:pPr>
        <w:pStyle w:val="ListParagraph"/>
        <w:numPr>
          <w:ilvl w:val="0"/>
          <w:numId w:val="19"/>
        </w:numPr>
        <w:spacing w:after="0" w:line="240" w:lineRule="auto"/>
        <w:rPr>
          <w:rFonts w:cstheme="minorHAnsi"/>
        </w:rPr>
      </w:pPr>
      <w:r w:rsidRPr="00132BDB">
        <w:rPr>
          <w:rFonts w:ascii="Calibri" w:eastAsia="Times New Roman" w:hAnsi="Calibri" w:cs="Times New Roman"/>
          <w:color w:val="000000"/>
        </w:rPr>
        <w:t>Analyse, evaluate and demonstrate a wide range of specific harmonic and melodic conventions used in the creation of arrangements and orchestrations.</w:t>
      </w:r>
    </w:p>
    <w:p w:rsidR="00000FBC" w:rsidRPr="007769F7" w:rsidRDefault="007769F7" w:rsidP="00E803C3">
      <w:pPr>
        <w:pStyle w:val="ListParagraph"/>
        <w:numPr>
          <w:ilvl w:val="0"/>
          <w:numId w:val="19"/>
        </w:numPr>
        <w:spacing w:after="0" w:line="240" w:lineRule="auto"/>
        <w:rPr>
          <w:rFonts w:cstheme="minorHAnsi"/>
        </w:rPr>
      </w:pPr>
      <w:r w:rsidRPr="00132BDB">
        <w:rPr>
          <w:rFonts w:ascii="Calibri" w:eastAsia="Times New Roman" w:hAnsi="Calibri" w:cs="Times New Roman"/>
          <w:color w:val="000000"/>
        </w:rPr>
        <w:t>Synthesise materials and knowledge to create sequenced instrumental music or noted score.</w:t>
      </w:r>
    </w:p>
    <w:p w:rsidR="006D0B63" w:rsidRPr="006D0B63" w:rsidRDefault="006D0B63" w:rsidP="006D0B63">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7769F7" w:rsidRDefault="007769F7" w:rsidP="007769F7">
      <w:pPr>
        <w:spacing w:after="0" w:line="240" w:lineRule="auto"/>
      </w:pPr>
      <w:r w:rsidRPr="00D458EA">
        <w:t>Concepts, principles &amp; theories</w:t>
      </w:r>
      <w:r>
        <w:t xml:space="preserve"> will be</w:t>
      </w:r>
      <w:r w:rsidRPr="00D458EA">
        <w:t xml:space="preserve"> explored in formal lectures and seminars. </w:t>
      </w:r>
    </w:p>
    <w:p w:rsidR="007769F7" w:rsidRDefault="007769F7" w:rsidP="007769F7">
      <w:pPr>
        <w:spacing w:after="0" w:line="240" w:lineRule="auto"/>
      </w:pPr>
    </w:p>
    <w:p w:rsidR="007769F7" w:rsidRDefault="007769F7" w:rsidP="007769F7">
      <w:pPr>
        <w:spacing w:after="0" w:line="240" w:lineRule="auto"/>
      </w:pPr>
      <w:r w:rsidRPr="00447FE2">
        <w:rPr>
          <w:b/>
        </w:rPr>
        <w:t>Lectures</w:t>
      </w:r>
      <w:r w:rsidRPr="00D458EA">
        <w:t xml:space="preserve"> will examine </w:t>
      </w:r>
      <w:r>
        <w:t>various scores and recordings. B</w:t>
      </w:r>
      <w:r w:rsidRPr="00D458EA">
        <w:t xml:space="preserve">y listening to and analysing seminal and influential music students will develop an awareness of traditions and trends.  </w:t>
      </w:r>
    </w:p>
    <w:p w:rsidR="007769F7" w:rsidRDefault="007769F7" w:rsidP="007769F7">
      <w:pPr>
        <w:spacing w:after="0" w:line="240" w:lineRule="auto"/>
      </w:pPr>
    </w:p>
    <w:p w:rsidR="006D0B63" w:rsidRDefault="007769F7" w:rsidP="007769F7">
      <w:pPr>
        <w:spacing w:after="0" w:line="240" w:lineRule="auto"/>
      </w:pPr>
      <w:r w:rsidRPr="009D07EB">
        <w:rPr>
          <w:b/>
        </w:rPr>
        <w:t>Seminar</w:t>
      </w:r>
      <w:r w:rsidRPr="00AA5334">
        <w:t xml:space="preserve"> </w:t>
      </w:r>
      <w:r>
        <w:t xml:space="preserve">sessions will be used for </w:t>
      </w:r>
      <w:r w:rsidRPr="00AA5334">
        <w:t>group-based discussions using material cover</w:t>
      </w:r>
      <w:r>
        <w:t xml:space="preserve">ed in the lectures. Students will be encouraged </w:t>
      </w:r>
      <w:r w:rsidRPr="00AA5334">
        <w:t xml:space="preserve">to apply principles linked to </w:t>
      </w:r>
      <w:r>
        <w:t>examples and discuss their understanding.</w:t>
      </w:r>
    </w:p>
    <w:p w:rsidR="006D0B63" w:rsidRPr="00713854" w:rsidRDefault="006D0B63"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7769F7" w:rsidRDefault="007769F7" w:rsidP="007769F7">
      <w:pPr>
        <w:spacing w:after="0" w:line="240" w:lineRule="auto"/>
      </w:pPr>
      <w:r w:rsidRPr="00D458EA">
        <w:t>Students will rece</w:t>
      </w:r>
      <w:r>
        <w:t>ive regular formative feedback that will be delivered through the seminar series.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000FBC" w:rsidP="009D12F0">
            <w:r>
              <w:t>Coursework</w:t>
            </w:r>
          </w:p>
        </w:tc>
        <w:tc>
          <w:tcPr>
            <w:tcW w:w="2570" w:type="dxa"/>
            <w:vAlign w:val="center"/>
          </w:tcPr>
          <w:p w:rsidR="00713854" w:rsidRPr="001C661C" w:rsidRDefault="00D7262A" w:rsidP="007769F7">
            <w:pPr>
              <w:jc w:val="center"/>
              <w:rPr>
                <w:rFonts w:cstheme="minorHAnsi"/>
              </w:rPr>
            </w:pPr>
            <w:r>
              <w:rPr>
                <w:rFonts w:cstheme="minorHAnsi"/>
              </w:rPr>
              <w:t>4</w:t>
            </w:r>
            <w:r w:rsidR="007769F7">
              <w:rPr>
                <w:rFonts w:cstheme="minorHAnsi"/>
              </w:rPr>
              <w:t xml:space="preserve"> minutes of audio or completed notated score</w:t>
            </w:r>
          </w:p>
        </w:tc>
        <w:tc>
          <w:tcPr>
            <w:tcW w:w="2375" w:type="dxa"/>
            <w:vAlign w:val="center"/>
          </w:tcPr>
          <w:p w:rsidR="00713854" w:rsidRPr="001C661C" w:rsidRDefault="007769F7" w:rsidP="00CB0A08">
            <w:pPr>
              <w:jc w:val="center"/>
              <w:rPr>
                <w:rFonts w:cstheme="minorHAnsi"/>
              </w:rPr>
            </w:pPr>
            <w:r>
              <w:rPr>
                <w:rFonts w:cstheme="minorHAnsi"/>
              </w:rPr>
              <w:t>50</w:t>
            </w:r>
            <w:r w:rsidR="00000FBC">
              <w:rPr>
                <w:rFonts w:cstheme="minorHAnsi"/>
              </w:rPr>
              <w:t>%</w:t>
            </w:r>
          </w:p>
        </w:tc>
        <w:tc>
          <w:tcPr>
            <w:tcW w:w="2514" w:type="dxa"/>
            <w:vAlign w:val="center"/>
          </w:tcPr>
          <w:p w:rsidR="00713854" w:rsidRPr="001C661C" w:rsidRDefault="00000FBC" w:rsidP="00713854">
            <w:pPr>
              <w:jc w:val="center"/>
              <w:rPr>
                <w:rFonts w:cstheme="minorHAnsi"/>
              </w:rPr>
            </w:pPr>
            <w:r>
              <w:rPr>
                <w:rFonts w:cstheme="minorHAnsi"/>
              </w:rPr>
              <w:t>1, 2</w:t>
            </w:r>
            <w:r w:rsidR="007769F7">
              <w:rPr>
                <w:rFonts w:cstheme="minorHAnsi"/>
              </w:rPr>
              <w:t>, 3, 4</w:t>
            </w:r>
          </w:p>
        </w:tc>
      </w:tr>
      <w:tr w:rsidR="00713854" w:rsidRPr="001C661C" w:rsidTr="00973F76">
        <w:tc>
          <w:tcPr>
            <w:tcW w:w="2997" w:type="dxa"/>
            <w:vAlign w:val="center"/>
          </w:tcPr>
          <w:p w:rsidR="00713854" w:rsidRDefault="007769F7" w:rsidP="007769F7">
            <w:r>
              <w:t>Coursework</w:t>
            </w:r>
          </w:p>
        </w:tc>
        <w:tc>
          <w:tcPr>
            <w:tcW w:w="2570" w:type="dxa"/>
            <w:vAlign w:val="center"/>
          </w:tcPr>
          <w:p w:rsidR="00713854" w:rsidRPr="001C661C" w:rsidRDefault="00D7262A" w:rsidP="00713854">
            <w:pPr>
              <w:jc w:val="center"/>
              <w:rPr>
                <w:rFonts w:cstheme="minorHAnsi"/>
              </w:rPr>
            </w:pPr>
            <w:r>
              <w:rPr>
                <w:rFonts w:cstheme="minorHAnsi"/>
              </w:rPr>
              <w:t xml:space="preserve">4 </w:t>
            </w:r>
            <w:r w:rsidR="007769F7">
              <w:rPr>
                <w:rFonts w:cstheme="minorHAnsi"/>
              </w:rPr>
              <w:t>minutes of audio or completed notated score</w:t>
            </w:r>
          </w:p>
        </w:tc>
        <w:tc>
          <w:tcPr>
            <w:tcW w:w="2375" w:type="dxa"/>
            <w:vAlign w:val="center"/>
          </w:tcPr>
          <w:p w:rsidR="00713854" w:rsidRPr="001C661C" w:rsidRDefault="007769F7" w:rsidP="00713854">
            <w:pPr>
              <w:jc w:val="center"/>
              <w:rPr>
                <w:rFonts w:cstheme="minorHAnsi"/>
              </w:rPr>
            </w:pPr>
            <w:r>
              <w:rPr>
                <w:rFonts w:cstheme="minorHAnsi"/>
              </w:rPr>
              <w:t>50</w:t>
            </w:r>
            <w:r w:rsidR="00000FBC">
              <w:rPr>
                <w:rFonts w:cstheme="minorHAnsi"/>
              </w:rPr>
              <w:t>%</w:t>
            </w:r>
          </w:p>
        </w:tc>
        <w:tc>
          <w:tcPr>
            <w:tcW w:w="2514" w:type="dxa"/>
            <w:vAlign w:val="center"/>
          </w:tcPr>
          <w:p w:rsidR="00713854" w:rsidRPr="001C661C" w:rsidRDefault="007769F7" w:rsidP="00713854">
            <w:pPr>
              <w:jc w:val="center"/>
              <w:rPr>
                <w:rFonts w:cstheme="minorHAnsi"/>
              </w:rPr>
            </w:pPr>
            <w:r>
              <w:rPr>
                <w:rFonts w:cstheme="minorHAnsi"/>
              </w:rPr>
              <w:t>1, 2, 3, 4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7769F7" w:rsidRPr="001C661C" w:rsidTr="00973F76">
        <w:tc>
          <w:tcPr>
            <w:tcW w:w="2997" w:type="dxa"/>
            <w:vAlign w:val="center"/>
          </w:tcPr>
          <w:p w:rsidR="007769F7" w:rsidRDefault="007769F7" w:rsidP="007769F7">
            <w:r>
              <w:t>Coursework</w:t>
            </w:r>
          </w:p>
        </w:tc>
        <w:tc>
          <w:tcPr>
            <w:tcW w:w="2570" w:type="dxa"/>
            <w:vAlign w:val="center"/>
          </w:tcPr>
          <w:p w:rsidR="007769F7" w:rsidRPr="001C661C" w:rsidRDefault="00D7262A" w:rsidP="007769F7">
            <w:pPr>
              <w:jc w:val="center"/>
              <w:rPr>
                <w:rFonts w:cstheme="minorHAnsi"/>
              </w:rPr>
            </w:pPr>
            <w:r>
              <w:rPr>
                <w:rFonts w:cstheme="minorHAnsi"/>
              </w:rPr>
              <w:t>4</w:t>
            </w:r>
            <w:r w:rsidR="007769F7">
              <w:rPr>
                <w:rFonts w:cstheme="minorHAnsi"/>
              </w:rPr>
              <w:t xml:space="preserve"> minutes of audio or completed notated score</w:t>
            </w:r>
          </w:p>
        </w:tc>
        <w:tc>
          <w:tcPr>
            <w:tcW w:w="2375" w:type="dxa"/>
            <w:vAlign w:val="center"/>
          </w:tcPr>
          <w:p w:rsidR="007769F7" w:rsidRPr="001C661C" w:rsidRDefault="007769F7" w:rsidP="007769F7">
            <w:pPr>
              <w:jc w:val="center"/>
              <w:rPr>
                <w:rFonts w:cstheme="minorHAnsi"/>
              </w:rPr>
            </w:pPr>
            <w:r>
              <w:rPr>
                <w:rFonts w:cstheme="minorHAnsi"/>
              </w:rPr>
              <w:t>50%</w:t>
            </w:r>
          </w:p>
        </w:tc>
        <w:tc>
          <w:tcPr>
            <w:tcW w:w="2514" w:type="dxa"/>
            <w:vAlign w:val="center"/>
          </w:tcPr>
          <w:p w:rsidR="007769F7" w:rsidRPr="001C661C" w:rsidRDefault="007769F7" w:rsidP="007769F7">
            <w:pPr>
              <w:jc w:val="center"/>
              <w:rPr>
                <w:rFonts w:cstheme="minorHAnsi"/>
              </w:rPr>
            </w:pPr>
            <w:r>
              <w:rPr>
                <w:rFonts w:cstheme="minorHAnsi"/>
              </w:rPr>
              <w:t>1, 2, 3, 4</w:t>
            </w:r>
          </w:p>
        </w:tc>
      </w:tr>
      <w:tr w:rsidR="007769F7" w:rsidRPr="001C661C" w:rsidTr="00973F76">
        <w:tc>
          <w:tcPr>
            <w:tcW w:w="2997" w:type="dxa"/>
            <w:vAlign w:val="center"/>
          </w:tcPr>
          <w:p w:rsidR="007769F7" w:rsidRDefault="007769F7" w:rsidP="007769F7">
            <w:r>
              <w:t>Coursework</w:t>
            </w:r>
          </w:p>
        </w:tc>
        <w:tc>
          <w:tcPr>
            <w:tcW w:w="2570" w:type="dxa"/>
            <w:vAlign w:val="center"/>
          </w:tcPr>
          <w:p w:rsidR="007769F7" w:rsidRPr="001C661C" w:rsidRDefault="00D7262A" w:rsidP="007769F7">
            <w:pPr>
              <w:jc w:val="center"/>
              <w:rPr>
                <w:rFonts w:cstheme="minorHAnsi"/>
              </w:rPr>
            </w:pPr>
            <w:r>
              <w:rPr>
                <w:rFonts w:cstheme="minorHAnsi"/>
              </w:rPr>
              <w:t>4</w:t>
            </w:r>
            <w:bookmarkStart w:id="0" w:name="_GoBack"/>
            <w:bookmarkEnd w:id="0"/>
            <w:r w:rsidR="007769F7">
              <w:rPr>
                <w:rFonts w:cstheme="minorHAnsi"/>
              </w:rPr>
              <w:t xml:space="preserve"> minutes of audio or completed notated score</w:t>
            </w:r>
          </w:p>
        </w:tc>
        <w:tc>
          <w:tcPr>
            <w:tcW w:w="2375" w:type="dxa"/>
            <w:vAlign w:val="center"/>
          </w:tcPr>
          <w:p w:rsidR="007769F7" w:rsidRPr="001C661C" w:rsidRDefault="007769F7" w:rsidP="007769F7">
            <w:pPr>
              <w:jc w:val="center"/>
              <w:rPr>
                <w:rFonts w:cstheme="minorHAnsi"/>
              </w:rPr>
            </w:pPr>
            <w:r>
              <w:rPr>
                <w:rFonts w:cstheme="minorHAnsi"/>
              </w:rPr>
              <w:t>50%</w:t>
            </w:r>
          </w:p>
        </w:tc>
        <w:tc>
          <w:tcPr>
            <w:tcW w:w="2514" w:type="dxa"/>
            <w:vAlign w:val="center"/>
          </w:tcPr>
          <w:p w:rsidR="007769F7" w:rsidRPr="001C661C" w:rsidRDefault="007769F7" w:rsidP="007769F7">
            <w:pPr>
              <w:jc w:val="center"/>
              <w:rPr>
                <w:rFonts w:cstheme="minorHAnsi"/>
              </w:rPr>
            </w:pPr>
            <w:r>
              <w:rPr>
                <w:rFonts w:cstheme="minorHAnsi"/>
              </w:rPr>
              <w:t>1, 2, 3, 4</w:t>
            </w:r>
          </w:p>
        </w:tc>
      </w:tr>
    </w:tbl>
    <w:p w:rsidR="000A4BD5" w:rsidRPr="00E77496"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7769F7" w:rsidRDefault="007769F7" w:rsidP="007769F7">
      <w:pPr>
        <w:pStyle w:val="ListParagraph"/>
        <w:numPr>
          <w:ilvl w:val="0"/>
          <w:numId w:val="24"/>
        </w:numPr>
        <w:spacing w:after="0" w:line="240" w:lineRule="auto"/>
      </w:pPr>
      <w:proofErr w:type="spellStart"/>
      <w:r>
        <w:t>Jourdain</w:t>
      </w:r>
      <w:proofErr w:type="spellEnd"/>
      <w:r>
        <w:t>, R. (2002) Music the brain and ecstasy. Avon Books.</w:t>
      </w:r>
    </w:p>
    <w:p w:rsidR="007769F7" w:rsidRDefault="007769F7" w:rsidP="007769F7">
      <w:pPr>
        <w:pStyle w:val="ListParagraph"/>
        <w:numPr>
          <w:ilvl w:val="0"/>
          <w:numId w:val="24"/>
        </w:numPr>
        <w:spacing w:after="0" w:line="240" w:lineRule="auto"/>
      </w:pPr>
      <w:r>
        <w:t xml:space="preserve">Various. (2002) Arrangement and </w:t>
      </w:r>
      <w:proofErr w:type="spellStart"/>
      <w:r>
        <w:t>Reharmonization</w:t>
      </w:r>
      <w:proofErr w:type="spellEnd"/>
      <w:r>
        <w:t xml:space="preserve"> Techniques </w:t>
      </w:r>
      <w:proofErr w:type="spellStart"/>
      <w:r>
        <w:t>Schirmer</w:t>
      </w:r>
      <w:proofErr w:type="spellEnd"/>
    </w:p>
    <w:p w:rsidR="007769F7" w:rsidRDefault="007769F7" w:rsidP="007769F7">
      <w:pPr>
        <w:pStyle w:val="ListParagraph"/>
        <w:numPr>
          <w:ilvl w:val="0"/>
          <w:numId w:val="24"/>
        </w:numPr>
        <w:spacing w:after="0" w:line="240" w:lineRule="auto"/>
      </w:pPr>
      <w:proofErr w:type="spellStart"/>
      <w:r>
        <w:t>Cavacas</w:t>
      </w:r>
      <w:proofErr w:type="spellEnd"/>
      <w:r>
        <w:t>, J. (1985) Music arranging and orchestration. Alfred Publishing.</w:t>
      </w:r>
    </w:p>
    <w:p w:rsidR="007769F7" w:rsidRDefault="007769F7" w:rsidP="007769F7">
      <w:pPr>
        <w:pStyle w:val="ListParagraph"/>
        <w:numPr>
          <w:ilvl w:val="0"/>
          <w:numId w:val="24"/>
        </w:numPr>
        <w:spacing w:after="0" w:line="240" w:lineRule="auto"/>
      </w:pPr>
      <w:r>
        <w:t>Piston, W. (1955) Orchestration. Norton &amp; Co.</w:t>
      </w:r>
    </w:p>
    <w:p w:rsidR="007769F7" w:rsidRDefault="007769F7" w:rsidP="007769F7">
      <w:pPr>
        <w:pStyle w:val="ListParagraph"/>
        <w:numPr>
          <w:ilvl w:val="0"/>
          <w:numId w:val="24"/>
        </w:numPr>
        <w:spacing w:after="0" w:line="240" w:lineRule="auto"/>
      </w:pPr>
      <w:proofErr w:type="spellStart"/>
      <w:r>
        <w:t>Gilreath</w:t>
      </w:r>
      <w:proofErr w:type="spellEnd"/>
      <w:r>
        <w:t>, P. (2010) Guide to Midi Orchestration. Focal Press.</w:t>
      </w:r>
    </w:p>
    <w:p w:rsidR="007769F7" w:rsidRDefault="007769F7" w:rsidP="007769F7">
      <w:pPr>
        <w:pStyle w:val="ListParagraph"/>
        <w:numPr>
          <w:ilvl w:val="0"/>
          <w:numId w:val="24"/>
        </w:numPr>
        <w:spacing w:after="0" w:line="240" w:lineRule="auto"/>
      </w:pPr>
      <w:r>
        <w:t xml:space="preserve">Niles, R. (2014) </w:t>
      </w:r>
      <w:proofErr w:type="gramStart"/>
      <w:r>
        <w:t>The</w:t>
      </w:r>
      <w:proofErr w:type="gramEnd"/>
      <w:r>
        <w:t xml:space="preserve"> Invisible Artist: Arrangers in Popular Music. </w:t>
      </w:r>
      <w:proofErr w:type="spellStart"/>
      <w:r>
        <w:t>CreateSpace</w:t>
      </w:r>
      <w:proofErr w:type="spellEnd"/>
      <w:r>
        <w:t xml:space="preserve">. </w:t>
      </w:r>
    </w:p>
    <w:p w:rsidR="007769F7" w:rsidRDefault="007769F7" w:rsidP="007769F7">
      <w:pPr>
        <w:pStyle w:val="ListParagraph"/>
        <w:numPr>
          <w:ilvl w:val="0"/>
          <w:numId w:val="24"/>
        </w:numPr>
        <w:spacing w:after="0" w:line="240" w:lineRule="auto"/>
      </w:pPr>
      <w:proofErr w:type="spellStart"/>
      <w:r>
        <w:t>Corozine</w:t>
      </w:r>
      <w:proofErr w:type="spellEnd"/>
      <w:r>
        <w:t>, C. (2002) Arranging Music for the real world. Mel Bay.</w:t>
      </w:r>
    </w:p>
    <w:p w:rsidR="00EE2A50" w:rsidRPr="000A58BE" w:rsidRDefault="007769F7" w:rsidP="00B34D68">
      <w:pPr>
        <w:pStyle w:val="ListParagraph"/>
        <w:numPr>
          <w:ilvl w:val="0"/>
          <w:numId w:val="24"/>
        </w:numPr>
        <w:spacing w:after="0" w:line="240" w:lineRule="auto"/>
      </w:pPr>
      <w:proofErr w:type="spellStart"/>
      <w:r>
        <w:t>Schelle</w:t>
      </w:r>
      <w:proofErr w:type="spellEnd"/>
      <w:r>
        <w:t>, M</w:t>
      </w:r>
      <w:proofErr w:type="gramStart"/>
      <w:r>
        <w:t>.(</w:t>
      </w:r>
      <w:proofErr w:type="gramEnd"/>
      <w:r>
        <w:t xml:space="preserve">2000) The Score - Interviews with Film Composers. </w:t>
      </w:r>
      <w:proofErr w:type="spellStart"/>
      <w:r>
        <w:t>Silman</w:t>
      </w:r>
      <w:proofErr w:type="spellEnd"/>
      <w:r>
        <w:t>-James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D7262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D7262A">
    <w:pPr>
      <w:pStyle w:val="Header"/>
    </w:pPr>
    <w:r>
      <w:rPr>
        <w:noProof/>
        <w:lang w:eastAsia="en-GB"/>
      </w:rPr>
      <w:drawing>
        <wp:anchor distT="0" distB="0" distL="114300" distR="114300" simplePos="0" relativeHeight="251661312" behindDoc="1" locked="0" layoutInCell="1" allowOverlap="1">
          <wp:simplePos x="0" y="0"/>
          <wp:positionH relativeFrom="column">
            <wp:posOffset>5035550</wp:posOffset>
          </wp:positionH>
          <wp:positionV relativeFrom="paragraph">
            <wp:posOffset>-227330</wp:posOffset>
          </wp:positionV>
          <wp:extent cx="1755853" cy="10552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55853" cy="1055242"/>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6"/>
  </w:num>
  <w:num w:numId="5">
    <w:abstractNumId w:val="18"/>
  </w:num>
  <w:num w:numId="6">
    <w:abstractNumId w:val="14"/>
  </w:num>
  <w:num w:numId="7">
    <w:abstractNumId w:val="23"/>
  </w:num>
  <w:num w:numId="8">
    <w:abstractNumId w:val="21"/>
  </w:num>
  <w:num w:numId="9">
    <w:abstractNumId w:val="24"/>
  </w:num>
  <w:num w:numId="10">
    <w:abstractNumId w:val="20"/>
  </w:num>
  <w:num w:numId="11">
    <w:abstractNumId w:val="22"/>
  </w:num>
  <w:num w:numId="12">
    <w:abstractNumId w:val="4"/>
  </w:num>
  <w:num w:numId="13">
    <w:abstractNumId w:val="15"/>
  </w:num>
  <w:num w:numId="14">
    <w:abstractNumId w:val="8"/>
  </w:num>
  <w:num w:numId="15">
    <w:abstractNumId w:val="19"/>
  </w:num>
  <w:num w:numId="16">
    <w:abstractNumId w:val="7"/>
  </w:num>
  <w:num w:numId="17">
    <w:abstractNumId w:val="10"/>
  </w:num>
  <w:num w:numId="18">
    <w:abstractNumId w:val="0"/>
  </w:num>
  <w:num w:numId="19">
    <w:abstractNumId w:val="13"/>
  </w:num>
  <w:num w:numId="20">
    <w:abstractNumId w:val="2"/>
  </w:num>
  <w:num w:numId="21">
    <w:abstractNumId w:val="12"/>
  </w:num>
  <w:num w:numId="22">
    <w:abstractNumId w:val="17"/>
  </w:num>
  <w:num w:numId="23">
    <w:abstractNumId w:val="11"/>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A4BD5"/>
    <w:rsid w:val="000A58BE"/>
    <w:rsid w:val="000A5D80"/>
    <w:rsid w:val="000B2598"/>
    <w:rsid w:val="001B58BC"/>
    <w:rsid w:val="001C661C"/>
    <w:rsid w:val="001E2AD7"/>
    <w:rsid w:val="00287607"/>
    <w:rsid w:val="003663DD"/>
    <w:rsid w:val="00366821"/>
    <w:rsid w:val="003A7418"/>
    <w:rsid w:val="00425F09"/>
    <w:rsid w:val="00436D1C"/>
    <w:rsid w:val="00460004"/>
    <w:rsid w:val="004A247D"/>
    <w:rsid w:val="004A73FB"/>
    <w:rsid w:val="004A74D4"/>
    <w:rsid w:val="004E1E51"/>
    <w:rsid w:val="004F4A6B"/>
    <w:rsid w:val="00534D47"/>
    <w:rsid w:val="00545359"/>
    <w:rsid w:val="00623815"/>
    <w:rsid w:val="006943D9"/>
    <w:rsid w:val="006D0B63"/>
    <w:rsid w:val="00713854"/>
    <w:rsid w:val="007769F7"/>
    <w:rsid w:val="007F1B4A"/>
    <w:rsid w:val="0087463F"/>
    <w:rsid w:val="00896703"/>
    <w:rsid w:val="008A2ACE"/>
    <w:rsid w:val="00940BAB"/>
    <w:rsid w:val="00966B12"/>
    <w:rsid w:val="00973F76"/>
    <w:rsid w:val="009D12F0"/>
    <w:rsid w:val="00A12CD1"/>
    <w:rsid w:val="00A269B4"/>
    <w:rsid w:val="00AA1235"/>
    <w:rsid w:val="00B20B91"/>
    <w:rsid w:val="00B34D68"/>
    <w:rsid w:val="00B53773"/>
    <w:rsid w:val="00C07387"/>
    <w:rsid w:val="00C22386"/>
    <w:rsid w:val="00C63599"/>
    <w:rsid w:val="00C9068D"/>
    <w:rsid w:val="00C90D93"/>
    <w:rsid w:val="00CB0A08"/>
    <w:rsid w:val="00CE0279"/>
    <w:rsid w:val="00D016E2"/>
    <w:rsid w:val="00D35C71"/>
    <w:rsid w:val="00D40518"/>
    <w:rsid w:val="00D7262A"/>
    <w:rsid w:val="00D82C9D"/>
    <w:rsid w:val="00D97C8C"/>
    <w:rsid w:val="00DA29B6"/>
    <w:rsid w:val="00DD43C8"/>
    <w:rsid w:val="00E20379"/>
    <w:rsid w:val="00E77496"/>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9707E7"/>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CS2 Arranging and Orchestration</vt:lpstr>
    </vt:vector>
  </TitlesOfParts>
  <Company>Leeds College Of Music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Arranging and Orchestration</dc:title>
  <dc:creator>LCoM User</dc:creator>
  <cp:lastModifiedBy>Stephenson, Caroline</cp:lastModifiedBy>
  <cp:revision>3</cp:revision>
  <cp:lastPrinted>2019-02-05T08:30:00Z</cp:lastPrinted>
  <dcterms:created xsi:type="dcterms:W3CDTF">2021-04-28T15:09:00Z</dcterms:created>
  <dcterms:modified xsi:type="dcterms:W3CDTF">2021-04-28T15:11:00Z</dcterms:modified>
</cp:coreProperties>
</file>